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5F" w:rsidRPr="0013715F" w:rsidRDefault="0013715F" w:rsidP="0013715F">
      <w:pPr>
        <w:spacing w:after="0" w:line="240" w:lineRule="auto"/>
        <w:outlineLvl w:val="1"/>
        <w:rPr>
          <w:rFonts w:ascii="т" w:eastAsia="Times New Roman" w:hAnsi="т" w:cs="Arial"/>
          <w:color w:val="7BA428"/>
          <w:sz w:val="24"/>
          <w:szCs w:val="24"/>
        </w:rPr>
      </w:pPr>
      <w:r w:rsidRPr="0013715F">
        <w:rPr>
          <w:rFonts w:ascii="т" w:eastAsia="Times New Roman" w:hAnsi="т" w:cs="Arial"/>
          <w:color w:val="7BA428"/>
          <w:sz w:val="24"/>
          <w:szCs w:val="24"/>
        </w:rPr>
        <w:fldChar w:fldCharType="begin"/>
      </w:r>
      <w:r w:rsidRPr="0013715F">
        <w:rPr>
          <w:rFonts w:ascii="т" w:eastAsia="Times New Roman" w:hAnsi="т" w:cs="Arial"/>
          <w:color w:val="7BA428"/>
          <w:sz w:val="24"/>
          <w:szCs w:val="24"/>
        </w:rPr>
        <w:instrText xml:space="preserve"> HYPERLINK "http://boikoponura.ru/prokuratura-informiruet/222-izmeneny-trebovaniya-k-predostavleniyu-svedenij-o-dokhodakh-i-raskhodakh" </w:instrText>
      </w:r>
      <w:r w:rsidRPr="0013715F">
        <w:rPr>
          <w:rFonts w:ascii="т" w:eastAsia="Times New Roman" w:hAnsi="т" w:cs="Arial"/>
          <w:color w:val="7BA428"/>
          <w:sz w:val="24"/>
          <w:szCs w:val="24"/>
        </w:rPr>
        <w:fldChar w:fldCharType="separate"/>
      </w:r>
      <w:r w:rsidRPr="0013715F">
        <w:rPr>
          <w:rFonts w:ascii="т" w:eastAsia="Times New Roman" w:hAnsi="т" w:cs="Arial"/>
          <w:color w:val="041FE9"/>
          <w:sz w:val="24"/>
          <w:szCs w:val="24"/>
        </w:rPr>
        <w:t>Изменены требования к предоставлению сведений о доходах и расходах</w:t>
      </w:r>
      <w:r w:rsidRPr="0013715F">
        <w:rPr>
          <w:rFonts w:ascii="т" w:eastAsia="Times New Roman" w:hAnsi="т" w:cs="Arial"/>
          <w:color w:val="7BA428"/>
          <w:sz w:val="24"/>
          <w:szCs w:val="24"/>
        </w:rPr>
        <w:fldChar w:fldCharType="end"/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r w:rsidRPr="0013715F">
        <w:rPr>
          <w:rFonts w:ascii="т" w:eastAsia="Times New Roman" w:hAnsi="т" w:cs="Arial"/>
          <w:color w:val="333333"/>
          <w:sz w:val="24"/>
          <w:szCs w:val="24"/>
        </w:rPr>
        <w:t> </w:t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r w:rsidRPr="0013715F">
        <w:rPr>
          <w:rFonts w:ascii="т" w:eastAsia="Times New Roman" w:hAnsi="т" w:cs="Arial"/>
          <w:color w:val="333333"/>
          <w:sz w:val="24"/>
          <w:szCs w:val="24"/>
        </w:rPr>
        <w:t>Указом Президента Российской Федерации от 23.06.2014 № 460, вступившим в силу с 01.01.2015, с целью оптимизации нормативных правовых актов в сфере противодействия коррупции, единообразного подхода при представлении информации об имущественном положении утверждена новая форма отчетности, предусматривающая одновременное представление сведений о доходах и расходах. Нормативным актом установлено, что все лица, замещающие государственные и муниципальные должности, государственные и муниципальные служащие, с 2015 года направляют представителю нанимателя (работодателю) сведения по единому образцу, что исключает необходимость утверждения соответствующих формуляров на региональном и муниципальном уровнях.</w:t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proofErr w:type="gramStart"/>
      <w:r w:rsidRPr="0013715F">
        <w:rPr>
          <w:rFonts w:ascii="т" w:eastAsia="Times New Roman" w:hAnsi="т" w:cs="Arial"/>
          <w:color w:val="333333"/>
          <w:sz w:val="24"/>
          <w:szCs w:val="24"/>
        </w:rPr>
        <w:t>Новшеством, предусмотренным новой Справкой, является: обязательное отражение всех паспортных данных служащего и его родственников; общей суммы денежных поступлений на счета за отчетный период в случаях, если указанная сумма превышает общий доход лица и его супруга (супруги) за отчетный период и два предшествующих ему года (с приложением выписки о движении средств по счету);</w:t>
      </w:r>
      <w:proofErr w:type="gramEnd"/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 приложение копий правоудостоверяющих документов при предоставлении сведений о расходах, а также обязательное указание источника сре</w:t>
      </w:r>
      <w:proofErr w:type="gramStart"/>
      <w:r w:rsidRPr="0013715F">
        <w:rPr>
          <w:rFonts w:ascii="т" w:eastAsia="Times New Roman" w:hAnsi="т" w:cs="Arial"/>
          <w:color w:val="333333"/>
          <w:sz w:val="24"/>
          <w:szCs w:val="24"/>
        </w:rPr>
        <w:t>дств в сл</w:t>
      </w:r>
      <w:proofErr w:type="gramEnd"/>
      <w:r w:rsidRPr="0013715F">
        <w:rPr>
          <w:rFonts w:ascii="т" w:eastAsia="Times New Roman" w:hAnsi="т" w:cs="Arial"/>
          <w:color w:val="333333"/>
          <w:sz w:val="24"/>
          <w:szCs w:val="24"/>
        </w:rPr>
        <w:t>учае приобретения имущества за пределами Российской Федерации.</w:t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proofErr w:type="gramStart"/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Учитывая, что за представление недостоверных сведений о доходах и (или) расходах предусмотрена ответственность вплоть до расторжения служебных контрактов (трудовых договоров) в связи с утратой доверия, служащим при декларировании подотчетных данных необходимо учитывать, что </w:t>
      </w:r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>в качестве доходов отражается не только заработная плата, но и страховые выплаты при наступлении страхового случая, доходы, полученные от сдачи в аренду или иного использования имущества, от</w:t>
      </w:r>
      <w:proofErr w:type="gramEnd"/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 xml:space="preserve"> реализации имущества и ценных бумаг, средства, полученные в порядке дарения или наследования, от производства и продажи выращенной в личных подсобных хозяйствах продукции, выплаты от профсоюзных комитетов,</w:t>
      </w:r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 а также иные виды доходов.</w:t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b/>
          <w:color w:val="333333"/>
          <w:sz w:val="24"/>
          <w:szCs w:val="24"/>
        </w:rPr>
      </w:pPr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При этом </w:t>
      </w:r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>не подлежат указанию возмещенные суммы расходов, связанных со служебными командировками; компенсации расходов на оплату проезда и провоза багажа к месту использования отпуска и обратно; сумма социального налогового вычета, получаемая служащим как налогоплательщиком; оплата стоимости и (или) выдача полагающегося натурального довольствия, а также выплата денежных сре</w:t>
      </w:r>
      <w:proofErr w:type="gramStart"/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>дств вз</w:t>
      </w:r>
      <w:proofErr w:type="gramEnd"/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>амен этого довольствия; приобретение за счет организации проездных документов для исполнения служебных обязанностей.</w:t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При представлении сведений </w:t>
      </w:r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>о финансовых обязательствах</w:t>
      </w:r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 необходимо помнить, что должна быть указана информация о совершенных сделках, </w:t>
      </w:r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 xml:space="preserve">сумма которых превышает 500 тыс. руб., </w:t>
      </w:r>
      <w:r w:rsidRPr="0013715F">
        <w:rPr>
          <w:rFonts w:ascii="т" w:eastAsia="Times New Roman" w:hAnsi="т" w:cs="Arial"/>
          <w:color w:val="333333"/>
          <w:sz w:val="24"/>
          <w:szCs w:val="24"/>
        </w:rPr>
        <w:t>где служащий (его родственники) является не только должником (кредитный договор, в том числе ипотека и т.п.), но и кредитором (к примеру, договор участия в долевом строительстве).</w:t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proofErr w:type="gramStart"/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Представлять сведения </w:t>
      </w:r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>о своих расходах</w:t>
      </w:r>
      <w:r w:rsidRPr="0013715F">
        <w:rPr>
          <w:rFonts w:ascii="т" w:eastAsia="Times New Roman" w:hAnsi="т" w:cs="Arial"/>
          <w:color w:val="333333"/>
          <w:sz w:val="24"/>
          <w:szCs w:val="24"/>
        </w:rPr>
        <w:t>,</w:t>
      </w:r>
      <w:r>
        <w:rPr>
          <w:rFonts w:ascii="т" w:eastAsia="Times New Roman" w:hAnsi="т" w:cs="Arial"/>
          <w:color w:val="333333"/>
          <w:sz w:val="24"/>
          <w:szCs w:val="24"/>
        </w:rPr>
        <w:t xml:space="preserve"> </w:t>
      </w:r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 а также о расходах членов семьи и об источниках получения средств, за счет которых совершена сделка, необходимо в случаях </w:t>
      </w:r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>приобретения объектов недвижимости, транспортных средств, ценных бумаг</w:t>
      </w:r>
      <w:r w:rsidRPr="0013715F">
        <w:rPr>
          <w:rFonts w:ascii="т" w:eastAsia="Times New Roman" w:hAnsi="т" w:cs="Arial"/>
          <w:color w:val="333333"/>
          <w:sz w:val="24"/>
          <w:szCs w:val="24"/>
        </w:rPr>
        <w:t xml:space="preserve">, долей в уставных капиталах хозяйствующих субъектов в случае, </w:t>
      </w:r>
      <w:r w:rsidRPr="0013715F">
        <w:rPr>
          <w:rFonts w:ascii="т" w:eastAsia="Times New Roman" w:hAnsi="т" w:cs="Arial"/>
          <w:b/>
          <w:color w:val="333333"/>
          <w:sz w:val="24"/>
          <w:szCs w:val="24"/>
        </w:rPr>
        <w:t>если сумма сделки превышает общий доход семьи за три года</w:t>
      </w:r>
      <w:r w:rsidRPr="0013715F">
        <w:rPr>
          <w:rFonts w:ascii="т" w:eastAsia="Times New Roman" w:hAnsi="т" w:cs="Arial"/>
          <w:color w:val="333333"/>
          <w:sz w:val="24"/>
          <w:szCs w:val="24"/>
        </w:rPr>
        <w:t>, предшествующих ее совершению.</w:t>
      </w:r>
      <w:proofErr w:type="gramEnd"/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r w:rsidRPr="0013715F">
        <w:rPr>
          <w:rFonts w:ascii="т" w:eastAsia="Times New Roman" w:hAnsi="т" w:cs="Arial"/>
          <w:color w:val="333333"/>
          <w:sz w:val="24"/>
          <w:szCs w:val="24"/>
        </w:rPr>
        <w:t> </w:t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r>
        <w:rPr>
          <w:rFonts w:ascii="т" w:eastAsia="Times New Roman" w:hAnsi="т" w:cs="Arial"/>
          <w:color w:val="333333"/>
          <w:sz w:val="24"/>
          <w:szCs w:val="24"/>
        </w:rPr>
        <w:lastRenderedPageBreak/>
        <w:t xml:space="preserve"> </w:t>
      </w:r>
    </w:p>
    <w:p w:rsidR="0013715F" w:rsidRPr="0013715F" w:rsidRDefault="0013715F" w:rsidP="0013715F">
      <w:pPr>
        <w:spacing w:before="150" w:after="150" w:line="240" w:lineRule="auto"/>
        <w:rPr>
          <w:rFonts w:ascii="т" w:eastAsia="Times New Roman" w:hAnsi="т" w:cs="Arial"/>
          <w:color w:val="333333"/>
          <w:sz w:val="24"/>
          <w:szCs w:val="24"/>
        </w:rPr>
      </w:pPr>
      <w:r w:rsidRPr="0013715F">
        <w:rPr>
          <w:rFonts w:ascii="т" w:eastAsia="Times New Roman" w:hAnsi="т" w:cs="Arial"/>
          <w:color w:val="333333"/>
          <w:sz w:val="24"/>
          <w:szCs w:val="24"/>
        </w:rPr>
        <w:t> </w:t>
      </w:r>
    </w:p>
    <w:p w:rsidR="00FF18A6" w:rsidRPr="0013715F" w:rsidRDefault="00FF18A6" w:rsidP="0013715F">
      <w:pPr>
        <w:spacing w:line="240" w:lineRule="auto"/>
        <w:rPr>
          <w:rFonts w:ascii="т" w:hAnsi="т"/>
          <w:sz w:val="24"/>
          <w:szCs w:val="24"/>
        </w:rPr>
      </w:pPr>
    </w:p>
    <w:sectPr w:rsidR="00FF18A6" w:rsidRPr="0013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3715F"/>
    <w:rsid w:val="0013715F"/>
    <w:rsid w:val="00FF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1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371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2016-03-26T09:16:00Z</cp:lastPrinted>
  <dcterms:created xsi:type="dcterms:W3CDTF">2016-03-26T09:13:00Z</dcterms:created>
  <dcterms:modified xsi:type="dcterms:W3CDTF">2016-03-26T09:17:00Z</dcterms:modified>
</cp:coreProperties>
</file>