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86" w:rsidRPr="00E36F53" w:rsidRDefault="00BD0251" w:rsidP="00E36F53">
      <w:pPr>
        <w:spacing w:after="0" w:line="240" w:lineRule="auto"/>
        <w:jc w:val="right"/>
        <w:rPr>
          <w:rFonts w:ascii="т" w:hAnsi="т" w:cs="Times New Roman"/>
          <w:sz w:val="28"/>
          <w:szCs w:val="28"/>
        </w:rPr>
      </w:pPr>
      <w:r>
        <w:rPr>
          <w:rFonts w:ascii="т" w:hAnsi="т" w:cs="Times New Roman"/>
          <w:sz w:val="24"/>
          <w:szCs w:val="28"/>
        </w:rPr>
        <w:t>проект</w:t>
      </w:r>
      <w:r w:rsidR="002C0BC0" w:rsidRPr="00E36F53">
        <w:rPr>
          <w:rFonts w:ascii="т" w:hAnsi="т" w:cs="Times New Roman"/>
          <w:sz w:val="24"/>
          <w:szCs w:val="28"/>
        </w:rPr>
        <w:t xml:space="preserve"> </w:t>
      </w:r>
      <w:r w:rsidR="006A6B6E" w:rsidRPr="00E36F53">
        <w:rPr>
          <w:rFonts w:ascii="т" w:hAnsi="т" w:cs="Times New Roman"/>
          <w:sz w:val="24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234"/>
        <w:gridCol w:w="1693"/>
        <w:gridCol w:w="4082"/>
      </w:tblGrid>
      <w:tr w:rsidR="008473C2" w:rsidRPr="00E36F53" w:rsidTr="0041337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</w:p>
          <w:p w:rsidR="008473C2" w:rsidRPr="00E36F53" w:rsidRDefault="008473C2" w:rsidP="00E36F53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БАШКОРТОСТАН РЕСПУБЛИКАhЫ 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ИШЕМБАЙ РАЙОНЫ 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>МУНИЦИПАЛЬ РАЙОНЫ</w:t>
            </w: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br/>
              <w:t>ПЕТРОВСК АУЫЛ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t xml:space="preserve"> СОВЕТЫ АУЫЛ БИЛӘМӘhЕ</w:t>
            </w:r>
            <w:r w:rsidRPr="00E36F53">
              <w:rPr>
                <w:rFonts w:ascii="т" w:eastAsia="Times New Roman" w:hAnsi="т" w:cs="Times New Roman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 xml:space="preserve"> СОВЕТ  СЕЛЬСКОГО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ПОСЕЛЕНИЯ ПЕТРОВСКИЙ СЕЛЬСОВЕТ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МУНИЦИПАЛЬНОГО РАЙОНА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sz w:val="16"/>
                <w:szCs w:val="16"/>
              </w:rPr>
              <w:t>ИШИМБАЙСКИЙ РАЙОН</w:t>
            </w:r>
          </w:p>
        </w:tc>
      </w:tr>
      <w:tr w:rsidR="008473C2" w:rsidRPr="00E36F53" w:rsidTr="00413377"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6"/>
                <w:szCs w:val="16"/>
                <w:lang w:val="be-BY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 w:rsidRPr="00E36F53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E36F53">
              <w:rPr>
                <w:rFonts w:ascii="т" w:eastAsia="Times New Roman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Times New Roman"/>
                <w:i/>
                <w:sz w:val="16"/>
                <w:szCs w:val="16"/>
              </w:rPr>
              <w:t xml:space="preserve"> Ишембай</w:t>
            </w:r>
            <w:r w:rsidRPr="00E36F53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 xml:space="preserve"> районы</w:t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E36F53">
              <w:rPr>
                <w:rFonts w:ascii="т" w:eastAsia="Times New Roman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6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8473C2" w:rsidRPr="00E36F53" w:rsidRDefault="008473C2" w:rsidP="00E36F53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с.Петровское, ул.Ленина.23</w:t>
            </w:r>
          </w:p>
          <w:p w:rsidR="008473C2" w:rsidRPr="00E36F53" w:rsidRDefault="008473C2" w:rsidP="00E36F53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E36F53">
              <w:rPr>
                <w:rFonts w:ascii="т" w:eastAsia="Times New Roman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8473C2" w:rsidRPr="00E36F53" w:rsidRDefault="008473C2" w:rsidP="00E36F53">
      <w:pPr>
        <w:pStyle w:val="3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8473C2" w:rsidRPr="00E36F53" w:rsidRDefault="008473C2" w:rsidP="00E36F53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E36F53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E36F53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8473C2" w:rsidRPr="00E36F53" w:rsidRDefault="008473C2" w:rsidP="00E36F53">
      <w:pPr>
        <w:spacing w:after="0" w:line="240" w:lineRule="auto"/>
        <w:rPr>
          <w:rFonts w:ascii="т" w:eastAsia="Times New Roman" w:hAnsi="т" w:cs="Times New Roman"/>
          <w:b/>
          <w:caps/>
          <w:sz w:val="32"/>
          <w:szCs w:val="32"/>
          <w:lang w:val="be-BY"/>
        </w:rPr>
      </w:pPr>
    </w:p>
    <w:p w:rsidR="00ED19B3" w:rsidRPr="00E36F53" w:rsidRDefault="008473C2" w:rsidP="00E36F53">
      <w:pPr>
        <w:spacing w:line="240" w:lineRule="auto"/>
        <w:jc w:val="center"/>
        <w:rPr>
          <w:rFonts w:ascii="т" w:eastAsia="Times New Roman" w:hAnsi="т" w:cs="Times New Roman"/>
          <w:b/>
          <w:caps/>
          <w:sz w:val="28"/>
          <w:szCs w:val="28"/>
          <w:lang w:val="be-BY"/>
        </w:rPr>
      </w:pPr>
      <w:r w:rsidRPr="00E36F53">
        <w:rPr>
          <w:rFonts w:ascii="Lucida Sans Unicode" w:eastAsia="Times New Roman" w:hAnsi="Lucida Sans Unicode" w:cs="Lucida Sans Unicode"/>
          <w:b/>
          <w:caps/>
          <w:sz w:val="28"/>
          <w:szCs w:val="28"/>
          <w:lang w:val="be-BY"/>
        </w:rPr>
        <w:t>Ҡ</w:t>
      </w:r>
      <w:r w:rsidRPr="00E36F53">
        <w:rPr>
          <w:rFonts w:ascii="т" w:eastAsia="Times New Roman" w:hAnsi="т" w:cs="Times New Roman"/>
          <w:b/>
          <w:caps/>
          <w:sz w:val="28"/>
          <w:szCs w:val="28"/>
          <w:lang w:val="be-BY"/>
        </w:rPr>
        <w:t>арар</w:t>
      </w:r>
      <w:r w:rsidRPr="00E36F53">
        <w:rPr>
          <w:rFonts w:ascii="т" w:eastAsia="Times New Roman" w:hAnsi="т" w:cs="Times New Roman"/>
          <w:b/>
          <w:caps/>
          <w:sz w:val="28"/>
          <w:szCs w:val="28"/>
          <w:lang w:val="be-BY"/>
        </w:rPr>
        <w:tab/>
        <w:t xml:space="preserve">                                                                              решениЕ</w:t>
      </w:r>
    </w:p>
    <w:p w:rsidR="002C0BC0" w:rsidRPr="00E36F53" w:rsidRDefault="00752EDC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 xml:space="preserve">Об утверждении Положения о </w:t>
      </w:r>
      <w:r w:rsidR="003D2441" w:rsidRPr="00E36F53">
        <w:rPr>
          <w:rFonts w:ascii="т" w:hAnsi="т" w:cs="Times New Roman"/>
          <w:b/>
          <w:sz w:val="28"/>
          <w:szCs w:val="28"/>
        </w:rPr>
        <w:t>представлении</w:t>
      </w:r>
      <w:r w:rsidR="00F60702" w:rsidRPr="00E36F53">
        <w:rPr>
          <w:rFonts w:ascii="т" w:hAnsi="т" w:cs="Times New Roman"/>
          <w:b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b/>
          <w:sz w:val="28"/>
          <w:szCs w:val="28"/>
        </w:rPr>
        <w:t xml:space="preserve">депутатами Совета </w:t>
      </w:r>
    </w:p>
    <w:p w:rsidR="002C0BC0" w:rsidRPr="00E36F53" w:rsidRDefault="00410B74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</w:t>
      </w:r>
      <w:r w:rsidRPr="00E36F53">
        <w:rPr>
          <w:rFonts w:ascii="т" w:hAnsi="т" w:cs="Times New Roman"/>
          <w:b/>
          <w:sz w:val="28"/>
          <w:szCs w:val="28"/>
        </w:rPr>
        <w:t>поселения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Петровский  сельсовет  </w:t>
      </w:r>
      <w:r w:rsidRPr="00E36F53">
        <w:rPr>
          <w:rFonts w:ascii="т" w:hAnsi="т" w:cs="Times New Roman"/>
          <w:b/>
          <w:sz w:val="28"/>
          <w:szCs w:val="28"/>
        </w:rPr>
        <w:t xml:space="preserve"> муниципального района</w:t>
      </w:r>
      <w:r w:rsidR="00EE1FA5" w:rsidRPr="00E36F53">
        <w:rPr>
          <w:rFonts w:ascii="т" w:hAnsi="т" w:cs="Times New Roman"/>
          <w:szCs w:val="28"/>
        </w:rPr>
        <w:t xml:space="preserve"> </w:t>
      </w:r>
      <w:r w:rsidR="00EE1FA5" w:rsidRPr="00E36F53">
        <w:rPr>
          <w:rFonts w:ascii="т" w:hAnsi="т" w:cs="Times New Roman"/>
          <w:b/>
          <w:sz w:val="28"/>
          <w:szCs w:val="28"/>
        </w:rPr>
        <w:t>Ишимбайский район</w:t>
      </w:r>
      <w:r w:rsidR="00EE1FA5" w:rsidRPr="00E36F53">
        <w:rPr>
          <w:rFonts w:ascii="т" w:hAnsi="т" w:cs="Times New Roman"/>
          <w:szCs w:val="28"/>
        </w:rPr>
        <w:t xml:space="preserve"> </w:t>
      </w:r>
      <w:r w:rsidR="006A6B6E" w:rsidRPr="00E36F53">
        <w:rPr>
          <w:rFonts w:ascii="т" w:hAnsi="т" w:cs="Times New Roman"/>
          <w:b/>
          <w:sz w:val="28"/>
          <w:szCs w:val="28"/>
        </w:rPr>
        <w:t>Республики Башкортостан</w:t>
      </w:r>
      <w:r w:rsidR="00EE1FA5" w:rsidRPr="00E36F53">
        <w:rPr>
          <w:rFonts w:ascii="т" w:hAnsi="т" w:cs="Times New Roman"/>
          <w:b/>
          <w:sz w:val="28"/>
          <w:szCs w:val="28"/>
        </w:rPr>
        <w:t xml:space="preserve"> </w:t>
      </w:r>
    </w:p>
    <w:p w:rsidR="00730786" w:rsidRPr="00E36F53" w:rsidRDefault="003D2441" w:rsidP="00E36F53">
      <w:pPr>
        <w:spacing w:after="0" w:line="240" w:lineRule="auto"/>
        <w:jc w:val="center"/>
        <w:rPr>
          <w:rFonts w:ascii="т" w:hAnsi="т" w:cs="Times New Roman"/>
          <w:b/>
          <w:sz w:val="28"/>
          <w:szCs w:val="28"/>
        </w:rPr>
      </w:pPr>
      <w:r w:rsidRPr="00E36F53">
        <w:rPr>
          <w:rFonts w:ascii="т" w:hAnsi="т" w:cs="Times New Roman"/>
          <w:b/>
          <w:sz w:val="28"/>
          <w:szCs w:val="28"/>
        </w:rPr>
        <w:t>с</w:t>
      </w:r>
      <w:r w:rsidR="00D4716D" w:rsidRPr="00E36F53">
        <w:rPr>
          <w:rFonts w:ascii="т" w:hAnsi="т" w:cs="Times New Roman"/>
          <w:b/>
          <w:sz w:val="28"/>
          <w:szCs w:val="28"/>
        </w:rPr>
        <w:t xml:space="preserve">ведений </w:t>
      </w:r>
      <w:r w:rsidR="00410B74" w:rsidRPr="00E36F53">
        <w:rPr>
          <w:rFonts w:ascii="т" w:hAnsi="т" w:cs="Times New Roman"/>
          <w:b/>
          <w:sz w:val="28"/>
          <w:szCs w:val="28"/>
        </w:rPr>
        <w:t>о доходах, расходах, об</w:t>
      </w:r>
      <w:r w:rsidR="001C36CC" w:rsidRPr="00E36F53">
        <w:rPr>
          <w:rFonts w:ascii="т" w:hAnsi="т" w:cs="Times New Roman"/>
          <w:b/>
          <w:sz w:val="28"/>
          <w:szCs w:val="28"/>
        </w:rPr>
        <w:t xml:space="preserve"> имуществе </w:t>
      </w:r>
      <w:r w:rsidRPr="00E36F53">
        <w:rPr>
          <w:rFonts w:ascii="т" w:hAnsi="т" w:cs="Times New Roman"/>
          <w:b/>
          <w:sz w:val="28"/>
          <w:szCs w:val="28"/>
        </w:rPr>
        <w:t>и обязательствах имущественного характера</w:t>
      </w:r>
    </w:p>
    <w:p w:rsidR="00480F4E" w:rsidRPr="00E36F53" w:rsidRDefault="00480F4E" w:rsidP="00E36F53">
      <w:pPr>
        <w:spacing w:after="0" w:line="240" w:lineRule="auto"/>
        <w:jc w:val="center"/>
        <w:rPr>
          <w:rFonts w:ascii="т" w:hAnsi="т" w:cs="Times New Roman"/>
          <w:sz w:val="28"/>
          <w:szCs w:val="28"/>
        </w:rPr>
      </w:pPr>
    </w:p>
    <w:p w:rsidR="00B66357" w:rsidRPr="00E36F53" w:rsidRDefault="00B66357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 xml:space="preserve">В </w:t>
      </w:r>
      <w:r w:rsidR="001C36CC" w:rsidRPr="00E36F53">
        <w:rPr>
          <w:rFonts w:ascii="т" w:hAnsi="т" w:cs="Times New Roman"/>
          <w:sz w:val="28"/>
          <w:szCs w:val="28"/>
        </w:rPr>
        <w:t xml:space="preserve">целях реализации положений статьи 12.1 Федерального закона             от 25 декабря 2008 года № 273-ФЗ «О противодействии коррупции»                   и в </w:t>
      </w:r>
      <w:r w:rsidRPr="00E36F53">
        <w:rPr>
          <w:rFonts w:ascii="т" w:hAnsi="т" w:cs="Times New Roman"/>
          <w:sz w:val="28"/>
          <w:szCs w:val="28"/>
        </w:rPr>
        <w:t>соответствии с</w:t>
      </w:r>
      <w:r w:rsidR="006A6B6E" w:rsidRPr="00E36F53">
        <w:rPr>
          <w:rFonts w:ascii="т" w:hAnsi="т" w:cs="Times New Roman"/>
          <w:sz w:val="28"/>
          <w:szCs w:val="28"/>
        </w:rPr>
        <w:t>остатьей 12.2 Закона Республики Башкортостанот 18 марта 2005 года № 162-з «О местном самоуправлении в Республике Башкортостан»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1C36CC" w:rsidRPr="00E36F53">
        <w:rPr>
          <w:rFonts w:ascii="т" w:hAnsi="т" w:cs="Times New Roman"/>
          <w:sz w:val="28"/>
          <w:szCs w:val="28"/>
        </w:rPr>
        <w:t xml:space="preserve">Совет 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2810D3" w:rsidRPr="00E36F53">
        <w:rPr>
          <w:rFonts w:ascii="т" w:hAnsi="т" w:cs="Times New Roman"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2810D3" w:rsidRPr="00E36F53">
        <w:rPr>
          <w:rFonts w:ascii="т" w:hAnsi="т" w:cs="Times New Roman"/>
          <w:sz w:val="28"/>
          <w:szCs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  <w:szCs w:val="28"/>
        </w:rPr>
        <w:t xml:space="preserve">Петровский сельсовет </w:t>
      </w:r>
      <w:r w:rsidR="00410B74" w:rsidRPr="00E36F53">
        <w:rPr>
          <w:rFonts w:ascii="т" w:hAnsi="т" w:cs="Times New Roman"/>
          <w:sz w:val="28"/>
          <w:szCs w:val="28"/>
        </w:rPr>
        <w:t>муниципального района</w:t>
      </w:r>
      <w:r w:rsidR="001C36CC" w:rsidRPr="00E36F53">
        <w:rPr>
          <w:rFonts w:ascii="т" w:hAnsi="т" w:cs="Times New Roman"/>
          <w:sz w:val="28"/>
          <w:szCs w:val="28"/>
        </w:rPr>
        <w:t xml:space="preserve"> </w:t>
      </w:r>
      <w:r w:rsidR="00EE1FA5" w:rsidRPr="00E36F53">
        <w:rPr>
          <w:rFonts w:ascii="т" w:hAnsi="т" w:cs="Times New Roman"/>
          <w:sz w:val="28"/>
          <w:szCs w:val="28"/>
        </w:rPr>
        <w:t xml:space="preserve"> Ишимбайский район </w:t>
      </w:r>
      <w:r w:rsidR="001C36CC" w:rsidRPr="00E36F53">
        <w:rPr>
          <w:rFonts w:ascii="т" w:hAnsi="т" w:cs="Times New Roman"/>
          <w:sz w:val="28"/>
          <w:szCs w:val="28"/>
        </w:rPr>
        <w:t xml:space="preserve">Республики Башкортостан </w:t>
      </w:r>
      <w:r w:rsidR="00ED19B3" w:rsidRPr="00E36F53">
        <w:rPr>
          <w:rFonts w:ascii="т" w:hAnsi="т" w:cs="Times New Roman"/>
          <w:sz w:val="28"/>
          <w:szCs w:val="28"/>
        </w:rPr>
        <w:t>решил</w:t>
      </w:r>
      <w:r w:rsidRPr="00E36F53">
        <w:rPr>
          <w:rFonts w:ascii="т" w:hAnsi="т" w:cs="Times New Roman"/>
          <w:sz w:val="28"/>
          <w:szCs w:val="28"/>
        </w:rPr>
        <w:t>:</w:t>
      </w:r>
    </w:p>
    <w:p w:rsidR="00D960D3" w:rsidRPr="00E36F53" w:rsidRDefault="001C36CC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>1.</w:t>
      </w:r>
      <w:r w:rsidR="00B66357" w:rsidRPr="00E36F53">
        <w:rPr>
          <w:rFonts w:ascii="т" w:hAnsi="т" w:cs="Times New Roman"/>
          <w:sz w:val="28"/>
          <w:szCs w:val="28"/>
        </w:rPr>
        <w:t xml:space="preserve">Утвердить Положение о </w:t>
      </w:r>
      <w:r w:rsidR="003D2441" w:rsidRPr="00E36F53">
        <w:rPr>
          <w:rFonts w:ascii="т" w:hAnsi="т" w:cs="Times New Roman"/>
          <w:sz w:val="28"/>
          <w:szCs w:val="28"/>
        </w:rPr>
        <w:t>представлении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sz w:val="28"/>
          <w:szCs w:val="28"/>
        </w:rPr>
        <w:t xml:space="preserve">депутатами Совета </w:t>
      </w:r>
      <w:r w:rsidR="00EE1FA5" w:rsidRPr="00E36F53">
        <w:rPr>
          <w:rFonts w:ascii="т" w:hAnsi="т" w:cs="Times New Roman"/>
          <w:sz w:val="28"/>
          <w:szCs w:val="28"/>
        </w:rPr>
        <w:t xml:space="preserve">  </w:t>
      </w:r>
      <w:r w:rsidR="00410B74" w:rsidRPr="00E36F53">
        <w:rPr>
          <w:rFonts w:ascii="т" w:hAnsi="т" w:cs="Times New Roman"/>
          <w:sz w:val="28"/>
          <w:szCs w:val="28"/>
        </w:rPr>
        <w:t>сельского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410B74" w:rsidRPr="00E36F53">
        <w:rPr>
          <w:rFonts w:ascii="т" w:hAnsi="т" w:cs="Times New Roman"/>
          <w:sz w:val="28"/>
          <w:szCs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  <w:szCs w:val="28"/>
        </w:rPr>
        <w:t>Петровский  сельсовет</w:t>
      </w:r>
      <w:r w:rsidR="00D4716D" w:rsidRPr="00E36F53">
        <w:rPr>
          <w:rFonts w:ascii="т" w:hAnsi="т" w:cs="Times New Roman"/>
          <w:sz w:val="28"/>
          <w:szCs w:val="28"/>
        </w:rPr>
        <w:t xml:space="preserve"> </w:t>
      </w:r>
      <w:r w:rsidR="00410B74" w:rsidRPr="00E36F53">
        <w:rPr>
          <w:rFonts w:ascii="т" w:hAnsi="т" w:cs="Times New Roman"/>
          <w:sz w:val="28"/>
          <w:szCs w:val="28"/>
        </w:rPr>
        <w:t>муниципального района</w:t>
      </w:r>
      <w:r w:rsidR="00EE1FA5" w:rsidRPr="00E36F53">
        <w:rPr>
          <w:rFonts w:ascii="т" w:hAnsi="т" w:cs="Times New Roman"/>
          <w:sz w:val="28"/>
          <w:szCs w:val="28"/>
        </w:rPr>
        <w:t xml:space="preserve">  Ишимбайский  район </w:t>
      </w:r>
      <w:r w:rsidR="006A6B6E" w:rsidRPr="00E36F53">
        <w:rPr>
          <w:rFonts w:ascii="т" w:hAnsi="т" w:cs="Times New Roman"/>
          <w:sz w:val="28"/>
          <w:szCs w:val="28"/>
        </w:rPr>
        <w:t>Республики Башкортостан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6A6B6E" w:rsidRPr="00E36F53">
        <w:rPr>
          <w:rFonts w:ascii="т" w:hAnsi="т" w:cs="Times New Roman"/>
          <w:sz w:val="28"/>
          <w:szCs w:val="28"/>
        </w:rPr>
        <w:t>сведений о доходах,</w:t>
      </w:r>
      <w:r w:rsidRPr="00E36F53">
        <w:rPr>
          <w:rFonts w:ascii="т" w:hAnsi="т" w:cs="Times New Roman"/>
          <w:sz w:val="28"/>
          <w:szCs w:val="28"/>
        </w:rPr>
        <w:t xml:space="preserve"> расходах, </w:t>
      </w:r>
      <w:r w:rsidR="003D2441" w:rsidRPr="00E36F53">
        <w:rPr>
          <w:rFonts w:ascii="т" w:hAnsi="т" w:cs="Times New Roman"/>
          <w:sz w:val="28"/>
          <w:szCs w:val="28"/>
        </w:rPr>
        <w:t>об имуществе и обязательствах имущественного характера</w:t>
      </w:r>
      <w:r w:rsidR="00EE1FA5" w:rsidRPr="00E36F53">
        <w:rPr>
          <w:rFonts w:ascii="т" w:hAnsi="т" w:cs="Times New Roman"/>
          <w:sz w:val="28"/>
          <w:szCs w:val="28"/>
        </w:rPr>
        <w:t xml:space="preserve"> </w:t>
      </w:r>
      <w:r w:rsidR="00D4716D" w:rsidRPr="00E36F53">
        <w:rPr>
          <w:rFonts w:ascii="т" w:hAnsi="т" w:cs="Times New Roman"/>
          <w:sz w:val="28"/>
          <w:szCs w:val="28"/>
        </w:rPr>
        <w:t xml:space="preserve">согласно приложению № 1 </w:t>
      </w:r>
      <w:r w:rsidRPr="00E36F53">
        <w:rPr>
          <w:rFonts w:ascii="т" w:hAnsi="т" w:cs="Times New Roman"/>
          <w:sz w:val="28"/>
          <w:szCs w:val="28"/>
        </w:rPr>
        <w:t>к настоящему Решению</w:t>
      </w:r>
      <w:r w:rsidR="00FD44ED" w:rsidRPr="00E36F53">
        <w:rPr>
          <w:rFonts w:ascii="т" w:hAnsi="т" w:cs="Times New Roman"/>
          <w:sz w:val="28"/>
          <w:szCs w:val="28"/>
        </w:rPr>
        <w:t>.</w:t>
      </w:r>
    </w:p>
    <w:p w:rsidR="001C36CC" w:rsidRPr="00E36F53" w:rsidRDefault="001C36CC" w:rsidP="00E36F53">
      <w:pPr>
        <w:spacing w:after="0" w:line="240" w:lineRule="auto"/>
        <w:ind w:firstLine="709"/>
        <w:jc w:val="both"/>
        <w:rPr>
          <w:rFonts w:ascii="т" w:hAnsi="т" w:cs="Times New Roman"/>
          <w:sz w:val="28"/>
        </w:rPr>
      </w:pPr>
      <w:r w:rsidRPr="00E36F53">
        <w:rPr>
          <w:rFonts w:ascii="т" w:hAnsi="т" w:cs="Times New Roman"/>
          <w:sz w:val="28"/>
        </w:rPr>
        <w:t xml:space="preserve">2. Создать </w:t>
      </w:r>
      <w:r w:rsidR="00877C23" w:rsidRPr="00E36F53">
        <w:rPr>
          <w:rFonts w:ascii="т" w:hAnsi="т" w:cs="Times New Roman"/>
          <w:sz w:val="28"/>
        </w:rPr>
        <w:t>К</w:t>
      </w:r>
      <w:r w:rsidRPr="00E36F53">
        <w:rPr>
          <w:rFonts w:ascii="т" w:hAnsi="т" w:cs="Times New Roman"/>
          <w:sz w:val="28"/>
        </w:rPr>
        <w:t>омиссию по контролю за достоверностью сведений о доходах, расходах, об имуществе и обязательствах имущественного характера</w:t>
      </w:r>
      <w:r w:rsidR="003166B5" w:rsidRPr="00E36F53">
        <w:rPr>
          <w:rFonts w:ascii="т" w:hAnsi="т" w:cs="Times New Roman"/>
          <w:sz w:val="28"/>
        </w:rPr>
        <w:t>,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A010BA" w:rsidRPr="00E36F53">
        <w:rPr>
          <w:rFonts w:ascii="т" w:hAnsi="т" w:cs="Times New Roman"/>
          <w:sz w:val="28"/>
        </w:rPr>
        <w:t>представляемых депутатами</w:t>
      </w:r>
      <w:r w:rsidRPr="00E36F53">
        <w:rPr>
          <w:rFonts w:ascii="т" w:hAnsi="т" w:cs="Times New Roman"/>
          <w:sz w:val="28"/>
        </w:rPr>
        <w:t xml:space="preserve"> Совета 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410B74" w:rsidRPr="00E36F53">
        <w:rPr>
          <w:rFonts w:ascii="т" w:hAnsi="т" w:cs="Times New Roman"/>
          <w:sz w:val="28"/>
        </w:rPr>
        <w:t>сельского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410B74" w:rsidRPr="00E36F53">
        <w:rPr>
          <w:rFonts w:ascii="т" w:hAnsi="т" w:cs="Times New Roman"/>
          <w:sz w:val="28"/>
        </w:rPr>
        <w:t xml:space="preserve"> поселения </w:t>
      </w:r>
      <w:r w:rsidR="00EE1FA5" w:rsidRPr="00E36F53">
        <w:rPr>
          <w:rFonts w:ascii="т" w:hAnsi="т" w:cs="Times New Roman"/>
          <w:sz w:val="28"/>
        </w:rPr>
        <w:t xml:space="preserve"> </w:t>
      </w:r>
      <w:r w:rsidR="00EE1FA5" w:rsidRPr="00E36F53">
        <w:rPr>
          <w:rFonts w:ascii="т" w:hAnsi="т" w:cs="Times New Roman"/>
          <w:sz w:val="28"/>
          <w:szCs w:val="28"/>
        </w:rPr>
        <w:t xml:space="preserve">Петровский  сельсовет </w:t>
      </w:r>
      <w:r w:rsidR="00410B74" w:rsidRPr="00E36F53">
        <w:rPr>
          <w:rFonts w:ascii="т" w:hAnsi="т" w:cs="Times New Roman"/>
          <w:sz w:val="28"/>
        </w:rPr>
        <w:t>муниципального района</w:t>
      </w:r>
      <w:r w:rsidRPr="00E36F53">
        <w:rPr>
          <w:rFonts w:ascii="т" w:hAnsi="т" w:cs="Times New Roman"/>
          <w:sz w:val="28"/>
        </w:rPr>
        <w:t xml:space="preserve">  </w:t>
      </w:r>
      <w:r w:rsidR="00EE1FA5" w:rsidRPr="00E36F53">
        <w:rPr>
          <w:rFonts w:ascii="т" w:hAnsi="т" w:cs="Times New Roman"/>
          <w:sz w:val="28"/>
          <w:szCs w:val="28"/>
        </w:rPr>
        <w:t xml:space="preserve">Ишимбайский  район </w:t>
      </w:r>
      <w:r w:rsidRPr="00E36F53">
        <w:rPr>
          <w:rFonts w:ascii="т" w:hAnsi="т" w:cs="Times New Roman"/>
          <w:sz w:val="28"/>
        </w:rPr>
        <w:t>Р</w:t>
      </w:r>
      <w:r w:rsidR="00D4716D" w:rsidRPr="00E36F53">
        <w:rPr>
          <w:rFonts w:ascii="т" w:hAnsi="т" w:cs="Times New Roman"/>
          <w:sz w:val="28"/>
        </w:rPr>
        <w:t xml:space="preserve">еспублики Башкортостан, а также </w:t>
      </w:r>
      <w:bookmarkStart w:id="0" w:name="_GoBack"/>
      <w:bookmarkEnd w:id="0"/>
      <w:r w:rsidRPr="00E36F53">
        <w:rPr>
          <w:rFonts w:ascii="т" w:hAnsi="т" w:cs="Times New Roman"/>
          <w:sz w:val="28"/>
        </w:rPr>
        <w:t>по урегулированию конфликта интересов в составе согласно приложению № 2 к настоящему Решению.</w:t>
      </w:r>
    </w:p>
    <w:p w:rsidR="008473C2" w:rsidRPr="00E36F53" w:rsidRDefault="00F60702" w:rsidP="00E36F53">
      <w:pPr>
        <w:spacing w:line="240" w:lineRule="auto"/>
        <w:jc w:val="both"/>
        <w:outlineLvl w:val="0"/>
        <w:rPr>
          <w:rFonts w:ascii="т" w:hAnsi="т"/>
          <w:sz w:val="28"/>
          <w:szCs w:val="28"/>
        </w:rPr>
      </w:pPr>
      <w:r w:rsidRPr="00E36F53">
        <w:rPr>
          <w:rFonts w:ascii="т" w:hAnsi="т" w:cs="Times New Roman"/>
          <w:sz w:val="28"/>
          <w:szCs w:val="28"/>
        </w:rPr>
        <w:t xml:space="preserve">          </w:t>
      </w:r>
      <w:r w:rsidR="001C36CC" w:rsidRPr="00E36F53">
        <w:rPr>
          <w:rFonts w:ascii="т" w:hAnsi="т" w:cs="Times New Roman"/>
          <w:sz w:val="28"/>
          <w:szCs w:val="28"/>
        </w:rPr>
        <w:t>3</w:t>
      </w:r>
      <w:r w:rsidR="00480F4E" w:rsidRPr="00E36F53">
        <w:rPr>
          <w:rFonts w:ascii="т" w:hAnsi="т" w:cs="Times New Roman"/>
          <w:sz w:val="28"/>
          <w:szCs w:val="28"/>
        </w:rPr>
        <w:t xml:space="preserve">. </w:t>
      </w:r>
      <w:r w:rsidRPr="00E36F53">
        <w:rPr>
          <w:rFonts w:ascii="т" w:hAnsi="т"/>
          <w:sz w:val="28"/>
          <w:szCs w:val="28"/>
        </w:rPr>
        <w:t>Решение опубликовать в сети Интернет на официальном сайте Администрации сельского поселения Петровский сельсовет муниципального района Ишимбайский район Республики Башкортостан (</w:t>
      </w:r>
      <w:hyperlink r:id="rId8" w:history="1">
        <w:r w:rsidRPr="00E36F53">
          <w:rPr>
            <w:rStyle w:val="ab"/>
            <w:rFonts w:ascii="т" w:hAnsi="т"/>
            <w:sz w:val="28"/>
            <w:szCs w:val="28"/>
          </w:rPr>
          <w:t>http://petrowsk.ru/</w:t>
        </w:r>
      </w:hyperlink>
      <w:r w:rsidRPr="00E36F53">
        <w:rPr>
          <w:rFonts w:ascii="т" w:hAnsi="т"/>
          <w:sz w:val="28"/>
          <w:szCs w:val="28"/>
        </w:rPr>
        <w:t>).</w:t>
      </w:r>
    </w:p>
    <w:tbl>
      <w:tblPr>
        <w:tblW w:w="9889" w:type="dxa"/>
        <w:tblLayout w:type="fixed"/>
        <w:tblLook w:val="04A0"/>
      </w:tblPr>
      <w:tblGrid>
        <w:gridCol w:w="9889"/>
      </w:tblGrid>
      <w:tr w:rsidR="008473C2" w:rsidRPr="00E36F53" w:rsidTr="00F57A0F">
        <w:trPr>
          <w:trHeight w:val="1883"/>
        </w:trPr>
        <w:tc>
          <w:tcPr>
            <w:tcW w:w="9889" w:type="dxa"/>
          </w:tcPr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Глава сельского поселения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Республики Башкортостан                            О.Н.Морозова </w:t>
            </w:r>
          </w:p>
          <w:p w:rsidR="00F60702" w:rsidRPr="00E36F53" w:rsidRDefault="00F6070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</w:p>
          <w:p w:rsidR="00F6070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с.Петровское </w:t>
            </w:r>
          </w:p>
          <w:p w:rsidR="008473C2" w:rsidRPr="00E36F53" w:rsidRDefault="00BD0251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_____</w:t>
            </w:r>
            <w:r w:rsidR="002C0BC0" w:rsidRPr="00E36F53">
              <w:rPr>
                <w:rFonts w:ascii="т" w:hAnsi="т"/>
                <w:sz w:val="24"/>
                <w:szCs w:val="24"/>
              </w:rPr>
              <w:t>.</w:t>
            </w:r>
            <w:r w:rsidR="008473C2" w:rsidRPr="00E36F53">
              <w:rPr>
                <w:rFonts w:ascii="т" w:hAnsi="т"/>
                <w:sz w:val="24"/>
                <w:szCs w:val="24"/>
              </w:rPr>
              <w:t xml:space="preserve">2016  г  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№ </w:t>
            </w:r>
            <w:r w:rsidR="002C0BC0" w:rsidRPr="00E36F53">
              <w:rPr>
                <w:rFonts w:ascii="т" w:hAnsi="т"/>
                <w:sz w:val="24"/>
                <w:szCs w:val="24"/>
              </w:rPr>
              <w:t xml:space="preserve"> </w:t>
            </w:r>
            <w:r w:rsidR="00BD0251">
              <w:rPr>
                <w:rFonts w:ascii="т" w:hAnsi="т"/>
                <w:sz w:val="24"/>
                <w:szCs w:val="24"/>
              </w:rPr>
              <w:t>____</w:t>
            </w:r>
          </w:p>
          <w:p w:rsidR="00F57A0F" w:rsidRPr="00E36F53" w:rsidRDefault="00F57A0F" w:rsidP="00E36F53">
            <w:pPr>
              <w:spacing w:after="0" w:line="240" w:lineRule="auto"/>
              <w:ind w:right="-907"/>
              <w:rPr>
                <w:rFonts w:ascii="т" w:hAnsi="т"/>
              </w:rPr>
            </w:pPr>
          </w:p>
        </w:tc>
      </w:tr>
      <w:tr w:rsidR="008473C2" w:rsidRPr="00E36F53" w:rsidTr="00F57A0F">
        <w:trPr>
          <w:trHeight w:val="1883"/>
        </w:trPr>
        <w:tc>
          <w:tcPr>
            <w:tcW w:w="9889" w:type="dxa"/>
          </w:tcPr>
          <w:p w:rsidR="00F57A0F" w:rsidRPr="00E36F53" w:rsidRDefault="008473C2" w:rsidP="00E36F53">
            <w:pPr>
              <w:spacing w:after="0" w:line="240" w:lineRule="auto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/>
              </w:rPr>
              <w:lastRenderedPageBreak/>
              <w:t xml:space="preserve"> </w:t>
            </w:r>
            <w:r w:rsidR="00F57A0F" w:rsidRPr="00E36F53">
              <w:rPr>
                <w:rFonts w:ascii="т" w:hAnsi="т" w:cs="Times New Roman"/>
                <w:sz w:val="28"/>
                <w:szCs w:val="28"/>
              </w:rPr>
              <w:t>Приложение№ 1</w:t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left="5245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 xml:space="preserve">к решению Совета </w:t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left="5245"/>
              <w:jc w:val="right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 xml:space="preserve">№ </w:t>
            </w:r>
            <w:r w:rsidR="00BD0251">
              <w:rPr>
                <w:rFonts w:ascii="т" w:hAnsi="т" w:cs="Times New Roman"/>
                <w:sz w:val="28"/>
                <w:szCs w:val="28"/>
              </w:rPr>
              <w:t>____</w:t>
            </w:r>
            <w:r w:rsidRPr="00E36F53">
              <w:rPr>
                <w:rFonts w:ascii="т" w:hAnsi="т" w:cs="Times New Roman"/>
                <w:sz w:val="28"/>
                <w:szCs w:val="28"/>
              </w:rPr>
              <w:t xml:space="preserve"> от </w:t>
            </w:r>
            <w:r w:rsidR="00BD0251">
              <w:rPr>
                <w:rFonts w:ascii="т" w:hAnsi="т" w:cs="Times New Roman"/>
                <w:sz w:val="28"/>
                <w:szCs w:val="28"/>
              </w:rPr>
              <w:t>_______</w:t>
            </w:r>
            <w:r w:rsidRPr="00E36F53">
              <w:rPr>
                <w:rFonts w:ascii="т" w:hAnsi="т" w:cs="Times New Roman"/>
                <w:sz w:val="28"/>
                <w:szCs w:val="28"/>
              </w:rPr>
              <w:t xml:space="preserve"> </w:t>
            </w:r>
          </w:p>
          <w:p w:rsidR="00F57A0F" w:rsidRPr="00E36F53" w:rsidRDefault="00F57A0F" w:rsidP="00E36F53">
            <w:pPr>
              <w:spacing w:line="240" w:lineRule="auto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pStyle w:val="a3"/>
              <w:spacing w:line="240" w:lineRule="auto"/>
              <w:ind w:left="5245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 xml:space="preserve">Положение </w:t>
            </w: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 xml:space="preserve">о представлении депутатами Совета  сельского поселения </w:t>
            </w:r>
          </w:p>
          <w:p w:rsidR="00F57A0F" w:rsidRPr="00E36F53" w:rsidRDefault="00F57A0F" w:rsidP="00E36F53">
            <w:pPr>
              <w:pStyle w:val="a3"/>
              <w:spacing w:line="240" w:lineRule="auto"/>
              <w:ind w:left="0"/>
              <w:jc w:val="center"/>
              <w:rPr>
                <w:rFonts w:ascii="т" w:hAnsi="т" w:cs="Times New Roman"/>
                <w:b/>
                <w:sz w:val="28"/>
                <w:szCs w:val="28"/>
              </w:rPr>
            </w:pPr>
            <w:r w:rsidRPr="00E36F53">
              <w:rPr>
                <w:rFonts w:ascii="т" w:hAnsi="т" w:cs="Times New Roman"/>
                <w:b/>
                <w:sz w:val="28"/>
                <w:szCs w:val="28"/>
              </w:rPr>
              <w:t>Петровский сельсовет  муниципального района Ишимбайский район Республики Башкортостансведений о доходах, расходах, об имуществе и обязательствах имущественного характера</w:t>
            </w:r>
          </w:p>
          <w:p w:rsidR="00F57A0F" w:rsidRPr="00E36F53" w:rsidRDefault="00F57A0F" w:rsidP="00E36F53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т" w:hAnsi="т" w:cs="Times New Roman"/>
                <w:sz w:val="28"/>
                <w:szCs w:val="28"/>
              </w:rPr>
            </w:pPr>
            <w:r w:rsidRPr="00E36F53">
              <w:rPr>
                <w:rFonts w:ascii="т" w:hAnsi="т" w:cs="Times New Roman"/>
                <w:sz w:val="28"/>
                <w:szCs w:val="28"/>
              </w:rPr>
              <w:tab/>
            </w:r>
          </w:p>
          <w:p w:rsidR="00F57A0F" w:rsidRPr="00E36F53" w:rsidRDefault="00F57A0F" w:rsidP="00E36F53">
            <w:pPr>
              <w:pStyle w:val="a3"/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28"/>
              </w:rPr>
            </w:pP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1. Настоящим Положением определяется порядок представления депутатами Совета  сельского  поселения  Петровский сельсовет муниципального района Ишимбайский район Республики Башкортостан (далее – Депутаты),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доходах), а также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      </w:r>
            <w:r w:rsidRPr="00E36F53">
              <w:rPr>
                <w:rFonts w:ascii="т" w:hAnsi="т" w:cs="Times New Roman"/>
                <w:sz w:val="28"/>
                <w:szCs w:val="30"/>
              </w:rPr>
              <w:br/>
              <w:t>(далее - сведения о расходах).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2. Сведения о доходах и расходах представляются Депутатами ежегодно по форме справки, утвержденной Указом Президента Российской Федерации от 23 июня 2014 года № 460, не позднее 30 апреля года, следующего за отчетным.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3. Депутат представляет ежегодно: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      </w:r>
          </w:p>
          <w:p w:rsidR="00F60702" w:rsidRPr="00E36F53" w:rsidRDefault="00F60702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lastRenderedPageBreak/>
              <w:t>в) сведения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4. Сведения о доходах и расходах представляются в 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депутатами, а также по урегулированию конфликта интересов (далее - Комиссия).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5. Организационно-техническое и документационное обеспечение деятельности Комиссии осуществляются управляющим делами Администрации  сельского  поселения Петровский сельсовет муниципального района Ишимбайский район Республики Башкортостан.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6. В случае если Депутат обнаружил, что в представленных им в Комиссию сведениях о доходах и расходах не отражены или не полностью отражены какие-либо сведения либо имеются ошибки, Депутат вправе представить уточненные сведения в порядке, установленном настоящим Положением.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Депутат может представить уточненные сведения в течение одного месяца после окончания срока, указанного в пункте 2 настоящего Положения.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7. В случае непредставления по объективным причинам Депутатом сведений о доходах и расходах супруги (супруга) и несовершеннолетних детей данный факт подлежит рассмотрению на заседании Комиссии.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8. Сведения о доходах и расходах, представляемые в соответствии с настоящим Положением Депутатом, являются сведениями конфиденциального характера, если федеральным законом они не отнесены к сведениям, составляющим государственную тайну.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9. Управляющий делами Администрации  сельского  поселения  Петровский сельсовет муниципального района Ишимбайский район Республики Башкортостан, члены Комиссии,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соответствиис законодательством Российской Федерации.</w:t>
            </w:r>
          </w:p>
          <w:p w:rsidR="00F57A0F" w:rsidRPr="00E36F53" w:rsidRDefault="00F57A0F" w:rsidP="00E36F53">
            <w:pPr>
              <w:spacing w:after="0" w:line="240" w:lineRule="auto"/>
              <w:ind w:firstLine="709"/>
              <w:jc w:val="both"/>
              <w:rPr>
                <w:rFonts w:ascii="т" w:hAnsi="т" w:cs="Times New Roman"/>
                <w:sz w:val="28"/>
                <w:szCs w:val="30"/>
              </w:rPr>
            </w:pPr>
            <w:r w:rsidRPr="00E36F53">
              <w:rPr>
                <w:rFonts w:ascii="т" w:hAnsi="т" w:cs="Times New Roman"/>
                <w:sz w:val="28"/>
                <w:szCs w:val="30"/>
              </w:rPr>
              <w:t>10. В случае непредставления либо представления заведомо недостоверных или неполных сведений о доходах и расходах Депутат несет ответственность                   в соответствии с действующим законодательством.</w:t>
            </w:r>
          </w:p>
          <w:p w:rsidR="008473C2" w:rsidRPr="00E36F53" w:rsidRDefault="008473C2" w:rsidP="00E36F53">
            <w:pPr>
              <w:spacing w:after="0" w:line="240" w:lineRule="auto"/>
              <w:ind w:right="-907"/>
              <w:rPr>
                <w:rFonts w:ascii="т" w:hAnsi="т"/>
              </w:rPr>
            </w:pPr>
          </w:p>
        </w:tc>
      </w:tr>
    </w:tbl>
    <w:p w:rsidR="003D5359" w:rsidRPr="00E36F53" w:rsidRDefault="003D5359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tabs>
          <w:tab w:val="left" w:pos="11907"/>
        </w:tabs>
        <w:spacing w:line="240" w:lineRule="auto"/>
        <w:ind w:left="7513"/>
        <w:jc w:val="center"/>
        <w:rPr>
          <w:rFonts w:ascii="т" w:hAnsi="т"/>
          <w:sz w:val="16"/>
          <w:szCs w:val="16"/>
        </w:rPr>
      </w:pPr>
      <w:r w:rsidRPr="00E36F53">
        <w:rPr>
          <w:rFonts w:ascii="т" w:hAnsi="т"/>
          <w:sz w:val="16"/>
          <w:szCs w:val="16"/>
        </w:rPr>
        <w:t>УТВЕРЖДЕНА</w:t>
      </w:r>
    </w:p>
    <w:p w:rsidR="00E36F53" w:rsidRPr="00E36F53" w:rsidRDefault="00E36F53" w:rsidP="00E36F53">
      <w:pPr>
        <w:tabs>
          <w:tab w:val="left" w:pos="11907"/>
        </w:tabs>
        <w:spacing w:after="0" w:line="240" w:lineRule="auto"/>
        <w:ind w:left="7513"/>
        <w:jc w:val="center"/>
        <w:rPr>
          <w:rFonts w:ascii="т" w:hAnsi="т"/>
          <w:sz w:val="16"/>
          <w:szCs w:val="16"/>
        </w:rPr>
      </w:pPr>
      <w:r w:rsidRPr="00E36F53">
        <w:rPr>
          <w:rFonts w:ascii="т" w:hAnsi="т"/>
          <w:sz w:val="16"/>
          <w:szCs w:val="16"/>
        </w:rPr>
        <w:t>Указом Президента</w:t>
      </w:r>
      <w:r w:rsidRPr="00E36F53">
        <w:rPr>
          <w:rFonts w:ascii="т" w:hAnsi="т"/>
          <w:sz w:val="16"/>
          <w:szCs w:val="16"/>
        </w:rPr>
        <w:br/>
        <w:t>Российской Федерации</w:t>
      </w:r>
      <w:r w:rsidRPr="00E36F53">
        <w:rPr>
          <w:rFonts w:ascii="т" w:hAnsi="т"/>
          <w:sz w:val="16"/>
          <w:szCs w:val="16"/>
        </w:rPr>
        <w:br/>
        <w:t>от 23.06.2014 № 460</w:t>
      </w:r>
    </w:p>
    <w:p w:rsidR="00E36F53" w:rsidRPr="00E36F53" w:rsidRDefault="00E36F53" w:rsidP="00E36F53">
      <w:pPr>
        <w:tabs>
          <w:tab w:val="left" w:pos="11907"/>
        </w:tabs>
        <w:spacing w:after="0" w:line="240" w:lineRule="auto"/>
        <w:ind w:left="75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6"/>
          <w:szCs w:val="26"/>
        </w:rPr>
      </w:pPr>
      <w:r w:rsidRPr="00E36F53">
        <w:rPr>
          <w:rFonts w:ascii="т" w:hAnsi="т"/>
          <w:sz w:val="26"/>
          <w:szCs w:val="26"/>
        </w:rPr>
        <w:t xml:space="preserve">В                                    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left="851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(указывается наименование кадрового подразделения федерального государственного органа, иного                    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left="851"/>
        <w:jc w:val="both"/>
        <w:rPr>
          <w:rFonts w:ascii="т" w:hAnsi="т"/>
        </w:rPr>
      </w:pPr>
      <w:r w:rsidRPr="00E36F53">
        <w:rPr>
          <w:rFonts w:ascii="т" w:hAnsi="т"/>
        </w:rPr>
        <w:t xml:space="preserve">                                                             органа или организации)</w:t>
      </w:r>
    </w:p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</w:p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b/>
          <w:bCs/>
          <w:sz w:val="26"/>
          <w:szCs w:val="26"/>
        </w:rPr>
      </w:pPr>
      <w:r w:rsidRPr="00E36F53">
        <w:rPr>
          <w:rFonts w:ascii="т" w:hAnsi="т"/>
          <w:b/>
          <w:bCs/>
          <w:sz w:val="28"/>
          <w:szCs w:val="28"/>
        </w:rPr>
        <w:t>СПРАВКА</w:t>
      </w:r>
      <w:r w:rsidRPr="00E36F53">
        <w:rPr>
          <w:rStyle w:val="ae"/>
          <w:rFonts w:ascii="т" w:hAnsi="т"/>
        </w:rPr>
        <w:footnoteReference w:id="2"/>
      </w:r>
      <w:r w:rsidRPr="00E36F53">
        <w:rPr>
          <w:rFonts w:ascii="т" w:hAnsi="т"/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E36F53">
        <w:rPr>
          <w:rStyle w:val="ae"/>
          <w:rFonts w:ascii="т" w:hAnsi="т"/>
        </w:rPr>
        <w:footnoteReference w:id="3"/>
      </w:r>
      <w:r w:rsidRPr="00E36F53">
        <w:rPr>
          <w:rFonts w:ascii="т" w:hAnsi="т"/>
          <w:b/>
          <w:bCs/>
          <w:sz w:val="26"/>
          <w:szCs w:val="26"/>
        </w:rPr>
        <w:br/>
      </w:r>
    </w:p>
    <w:p w:rsidR="00E36F53" w:rsidRPr="00E36F53" w:rsidRDefault="00E36F53" w:rsidP="00E36F53">
      <w:pPr>
        <w:spacing w:after="0" w:line="240" w:lineRule="auto"/>
        <w:ind w:firstLine="567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 xml:space="preserve">Я,  </w:t>
      </w:r>
    </w:p>
    <w:p w:rsidR="00E36F53" w:rsidRPr="00E36F53" w:rsidRDefault="00E36F53" w:rsidP="00E36F53">
      <w:pPr>
        <w:pBdr>
          <w:top w:val="single" w:sz="4" w:space="2" w:color="auto"/>
        </w:pBdr>
        <w:spacing w:after="0" w:line="240" w:lineRule="auto"/>
        <w:ind w:left="907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(фамилия, имя, отчество, дата рождения, серия и номер паспорта, дата выдачи и орган, выдавший паспорт)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"/>
          <w:szCs w:val="2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      (место работы (службы), занимаемая (замещаемая) должность; в случае отсутствия основного места работы</w:t>
      </w: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after="0"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 xml:space="preserve"> (службы) – род занятий; должность, на замещение которой претендует гражданин (если применимо)</w:t>
      </w: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т" w:hAnsi="т"/>
        </w:rPr>
      </w:pPr>
    </w:p>
    <w:tbl>
      <w:tblPr>
        <w:tblW w:w="0" w:type="auto"/>
        <w:tblLook w:val="04A0"/>
      </w:tblPr>
      <w:tblGrid>
        <w:gridCol w:w="3740"/>
        <w:gridCol w:w="6115"/>
      </w:tblGrid>
      <w:tr w:rsidR="00E36F53" w:rsidRPr="00E36F53" w:rsidTr="00E36F53">
        <w:tc>
          <w:tcPr>
            <w:tcW w:w="3794" w:type="dxa"/>
            <w:hideMark/>
          </w:tcPr>
          <w:p w:rsidR="00E36F53" w:rsidRPr="00E36F53" w:rsidRDefault="00E36F53" w:rsidP="00E36F53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tabs>
          <w:tab w:val="right" w:pos="9921"/>
        </w:tabs>
        <w:spacing w:after="0" w:line="240" w:lineRule="auto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 xml:space="preserve">                                                                                                              (адрес места регистрации)</w:t>
      </w: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  <w:t>,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6"/>
          <w:szCs w:val="26"/>
        </w:rPr>
        <w:t>сообщаю сведения о доходах, расходах своих, супруги (супруга), несовершеннолетнего ребенка</w:t>
      </w:r>
      <w:r w:rsidRPr="00E36F53">
        <w:rPr>
          <w:rFonts w:ascii="т" w:hAnsi="т"/>
          <w:sz w:val="24"/>
          <w:szCs w:val="24"/>
        </w:rPr>
        <w:t xml:space="preserve"> </w:t>
      </w:r>
      <w:r w:rsidRPr="00E36F53">
        <w:rPr>
          <w:rFonts w:ascii="т" w:hAnsi="т"/>
        </w:rPr>
        <w:t>(нужное подчеркнуть)</w:t>
      </w: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tabs>
          <w:tab w:val="left" w:pos="9837"/>
        </w:tabs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ab/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(фамилия, имя, отчество, дата рождения, серия и номер паспорта, дата выдачи и орган, выдавший паспорт)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(адрес места регистрации, основное место работы (службы), занимаемая (замещаемая) должность)</w:t>
      </w: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(в случае отсутствия основного места работы (службы) – род занятий)</w:t>
      </w:r>
    </w:p>
    <w:p w:rsidR="00E36F53" w:rsidRPr="00E36F53" w:rsidRDefault="00E36F53" w:rsidP="00E36F53">
      <w:pP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after="0" w:line="240" w:lineRule="auto"/>
        <w:rPr>
          <w:rFonts w:ascii="т" w:hAnsi="т"/>
          <w:sz w:val="26"/>
          <w:szCs w:val="26"/>
        </w:rPr>
      </w:pPr>
    </w:p>
    <w:tbl>
      <w:tblPr>
        <w:tblW w:w="10560" w:type="dxa"/>
        <w:tblLayout w:type="fixed"/>
        <w:tblLook w:val="04A0"/>
      </w:tblPr>
      <w:tblGrid>
        <w:gridCol w:w="2235"/>
        <w:gridCol w:w="1700"/>
        <w:gridCol w:w="567"/>
        <w:gridCol w:w="2408"/>
        <w:gridCol w:w="567"/>
        <w:gridCol w:w="3083"/>
      </w:tblGrid>
      <w:tr w:rsidR="00E36F53" w:rsidRPr="00E36F53" w:rsidTr="00E36F53">
        <w:tc>
          <w:tcPr>
            <w:tcW w:w="3936" w:type="dxa"/>
            <w:gridSpan w:val="2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3084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 xml:space="preserve">г. об имуществе, </w:t>
            </w:r>
          </w:p>
        </w:tc>
      </w:tr>
      <w:tr w:rsidR="00E36F53" w:rsidRPr="00E36F53" w:rsidTr="00E36F53">
        <w:tc>
          <w:tcPr>
            <w:tcW w:w="2235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</w:tr>
    </w:tbl>
    <w:p w:rsidR="00E36F53" w:rsidRPr="00E36F53" w:rsidRDefault="00E36F53" w:rsidP="00E36F53">
      <w:pPr>
        <w:spacing w:after="0" w:line="240" w:lineRule="auto"/>
        <w:jc w:val="center"/>
        <w:rPr>
          <w:rFonts w:ascii="т" w:hAnsi="т"/>
          <w:sz w:val="26"/>
          <w:szCs w:val="26"/>
        </w:rPr>
      </w:pPr>
      <w:r w:rsidRPr="00E36F53">
        <w:rPr>
          <w:rFonts w:ascii="т" w:hAnsi="т"/>
        </w:rPr>
        <w:t>(фамилия, имя, отчество)</w:t>
      </w:r>
    </w:p>
    <w:p w:rsidR="00E36F53" w:rsidRPr="00E36F53" w:rsidRDefault="00E36F53" w:rsidP="00E36F53">
      <w:pPr>
        <w:spacing w:after="0" w:line="240" w:lineRule="auto"/>
        <w:rPr>
          <w:rFonts w:ascii="т" w:hAnsi="т"/>
          <w:sz w:val="16"/>
          <w:szCs w:val="16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6"/>
          <w:szCs w:val="26"/>
        </w:rPr>
      </w:pPr>
      <w:r w:rsidRPr="00E36F53">
        <w:rPr>
          <w:rFonts w:ascii="т" w:hAnsi="т"/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066"/>
        <w:gridCol w:w="538"/>
        <w:gridCol w:w="282"/>
        <w:gridCol w:w="1273"/>
        <w:gridCol w:w="476"/>
        <w:gridCol w:w="533"/>
        <w:gridCol w:w="1687"/>
      </w:tblGrid>
      <w:tr w:rsidR="00E36F53" w:rsidRPr="00E36F53" w:rsidTr="00E36F53">
        <w:tc>
          <w:tcPr>
            <w:tcW w:w="5353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left="-108" w:firstLine="108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ind w:left="-90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476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</w:p>
        </w:tc>
        <w:tc>
          <w:tcPr>
            <w:tcW w:w="1808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after="0" w:line="240" w:lineRule="auto"/>
              <w:jc w:val="both"/>
              <w:rPr>
                <w:rFonts w:ascii="т" w:hAnsi="т"/>
                <w:sz w:val="26"/>
                <w:szCs w:val="26"/>
              </w:rPr>
            </w:pPr>
            <w:r w:rsidRPr="00E36F53">
              <w:rPr>
                <w:rFonts w:ascii="т" w:hAnsi="т"/>
                <w:sz w:val="26"/>
                <w:szCs w:val="26"/>
              </w:rPr>
              <w:t>г.</w:t>
            </w:r>
          </w:p>
        </w:tc>
      </w:tr>
    </w:tbl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after="0" w:line="240" w:lineRule="auto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 xml:space="preserve">Раздел 1. Сведения о доходах 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21"/>
        <w:gridCol w:w="2977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Величина дохода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</w:tr>
      <w:tr w:rsidR="00E36F53" w:rsidRPr="00E36F53" w:rsidTr="00E36F53">
        <w:trPr>
          <w:trHeight w:val="4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5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доходы (включая пенсии, пособия, иные выплаты) за отчетный период.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Доход, полученный в иностранной валюте, указывается в рублях по курсу Банка России на дату получения дохода.</w:t>
      </w:r>
      <w:r w:rsidRPr="00E36F53">
        <w:rPr>
          <w:rFonts w:ascii="т" w:hAnsi="т"/>
          <w:b/>
          <w:bCs/>
          <w:sz w:val="24"/>
          <w:szCs w:val="24"/>
        </w:rPr>
        <w:t xml:space="preserve">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b/>
          <w:bCs/>
          <w:sz w:val="24"/>
          <w:szCs w:val="24"/>
          <w:vertAlign w:val="superscript"/>
        </w:rPr>
      </w:pPr>
      <w:r w:rsidRPr="00E36F53">
        <w:rPr>
          <w:rFonts w:ascii="т" w:hAnsi="т"/>
          <w:b/>
          <w:bCs/>
          <w:sz w:val="24"/>
          <w:szCs w:val="24"/>
        </w:rPr>
        <w:t>Раздел 2. Сведения о расходах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219"/>
        <w:gridCol w:w="1854"/>
        <w:gridCol w:w="2978"/>
        <w:gridCol w:w="2146"/>
      </w:tblGrid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 xml:space="preserve">Сумма сделки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Основание приобретения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</w:rPr>
            </w:pPr>
            <w:r w:rsidRPr="00E36F53">
              <w:rPr>
                <w:rFonts w:ascii="т" w:hAnsi="т"/>
                <w:bCs/>
              </w:rPr>
              <w:t>5</w:t>
            </w: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bCs/>
                <w:sz w:val="24"/>
                <w:szCs w:val="24"/>
              </w:rPr>
            </w:pPr>
            <w:r w:rsidRPr="00E36F53">
              <w:rPr>
                <w:rFonts w:ascii="т" w:hAnsi="т"/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bCs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jc w:val="both"/>
        <w:rPr>
          <w:rFonts w:ascii="т" w:hAnsi="т"/>
          <w:bCs/>
          <w:sz w:val="24"/>
          <w:szCs w:val="24"/>
        </w:rPr>
      </w:pPr>
      <w:r w:rsidRPr="00E36F53">
        <w:rPr>
          <w:rFonts w:ascii="т" w:hAnsi="т"/>
          <w:bCs/>
          <w:sz w:val="24"/>
          <w:szCs w:val="24"/>
        </w:rPr>
        <w:t>_____________________________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bCs/>
          <w:sz w:val="24"/>
          <w:szCs w:val="24"/>
          <w:vertAlign w:val="superscript"/>
        </w:rPr>
        <w:t>1</w:t>
      </w:r>
      <w:r w:rsidRPr="00E36F53">
        <w:rPr>
          <w:rFonts w:ascii="т" w:hAnsi="т"/>
        </w:rPr>
        <w:t xml:space="preserve"> Сведения  о  расходах   представляются   в   случаях,  установленных  </w:t>
      </w:r>
      <w:hyperlink r:id="rId9" w:history="1">
        <w:r w:rsidRPr="00E36F53">
          <w:rPr>
            <w:rStyle w:val="af"/>
            <w:rFonts w:ascii="т" w:hAnsi="т"/>
          </w:rPr>
          <w:t>статьей  3</w:t>
        </w:r>
      </w:hyperlink>
      <w:r w:rsidRPr="00E36F53">
        <w:rPr>
          <w:rFonts w:ascii="т" w:hAnsi="т"/>
        </w:rPr>
        <w:t xml:space="preserve">  Федерального  закона  от </w:t>
      </w:r>
      <w:r w:rsidRPr="00E36F53">
        <w:rPr>
          <w:rFonts w:ascii="т" w:hAnsi="т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2</w:t>
      </w:r>
      <w:r w:rsidRPr="00E36F53">
        <w:rPr>
          <w:rFonts w:ascii="т" w:hAnsi="т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36F53" w:rsidRPr="00E36F53" w:rsidRDefault="00E36F53" w:rsidP="00E36F53">
      <w:pPr>
        <w:spacing w:line="240" w:lineRule="auto"/>
        <w:jc w:val="both"/>
        <w:rPr>
          <w:rFonts w:ascii="т" w:hAnsi="т"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</w:p>
    <w:p w:rsidR="00E36F53" w:rsidRPr="00E36F53" w:rsidRDefault="00E36F53" w:rsidP="00E36F53">
      <w:pPr>
        <w:pageBreakBefore/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lastRenderedPageBreak/>
        <w:t>Раздел 3. Сведения об имуществе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3.1. Недвижимое имущество</w:t>
      </w: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5"/>
        <w:gridCol w:w="2268"/>
        <w:gridCol w:w="1701"/>
        <w:gridCol w:w="2126"/>
        <w:gridCol w:w="992"/>
        <w:gridCol w:w="2553"/>
      </w:tblGrid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собственности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Площадь</w:t>
            </w:r>
            <w:r w:rsidRPr="00E36F53">
              <w:rPr>
                <w:rFonts w:ascii="т" w:hAnsi="т"/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приобретения и источник средств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Земельные участки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  <w:r w:rsidRPr="00E36F53">
              <w:rPr>
                <w:rFonts w:ascii="т" w:hAnsi="т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2</w:t>
      </w:r>
      <w:r w:rsidRPr="00E36F53">
        <w:rPr>
          <w:rFonts w:ascii="т" w:hAnsi="т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0" w:history="1">
        <w:r w:rsidRPr="00E36F53">
          <w:rPr>
            <w:rStyle w:val="af"/>
            <w:rFonts w:ascii="т" w:hAnsi="т"/>
          </w:rPr>
          <w:t>частью 1 статьи 4</w:t>
        </w:r>
      </w:hyperlink>
      <w:r w:rsidRPr="00E36F53">
        <w:rPr>
          <w:rFonts w:ascii="т" w:hAnsi="т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828"/>
        <w:gridCol w:w="1984"/>
        <w:gridCol w:w="3686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lastRenderedPageBreak/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собственности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 регистрации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ind w:left="57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119"/>
        <w:gridCol w:w="1701"/>
        <w:gridCol w:w="1417"/>
        <w:gridCol w:w="1560"/>
        <w:gridCol w:w="1559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валюта счета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Остаток на счете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Сумма поступивших на счет денежных средств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  <w:r w:rsidRPr="00E36F53">
              <w:rPr>
                <w:rFonts w:ascii="т" w:hAnsi="т"/>
                <w:sz w:val="24"/>
                <w:szCs w:val="24"/>
              </w:rPr>
              <w:t xml:space="preserve">  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44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вид счета (депозитный, текущий, расчетный, ссудный и другие) и валюта счета.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lastRenderedPageBreak/>
        <w:t>2</w:t>
      </w:r>
      <w:r w:rsidRPr="00E36F53">
        <w:rPr>
          <w:rFonts w:ascii="т" w:hAnsi="т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sz w:val="24"/>
          <w:szCs w:val="24"/>
          <w:vertAlign w:val="superscript"/>
        </w:rPr>
        <w:t>3</w:t>
      </w:r>
      <w:r w:rsidRPr="00E36F53">
        <w:rPr>
          <w:rFonts w:ascii="т" w:hAnsi="т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5. Сведения о ценных бумагах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7"/>
        <w:gridCol w:w="2126"/>
        <w:gridCol w:w="1288"/>
        <w:gridCol w:w="1300"/>
        <w:gridCol w:w="1665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Наименование и организационно-правовая форма организации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spacing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Местонахождение организации </w:t>
            </w:r>
          </w:p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(адрес)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Уставный капитал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Доля участия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участия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4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0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5.2. Иные ценные бумаги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127"/>
        <w:gridCol w:w="2280"/>
        <w:gridCol w:w="1830"/>
        <w:gridCol w:w="1454"/>
        <w:gridCol w:w="1665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ценной бумаги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Номинальная величина обязательства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Общая стоимость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  <w:r w:rsidRPr="00E36F53">
              <w:rPr>
                <w:rFonts w:ascii="т" w:hAnsi="т"/>
                <w:sz w:val="24"/>
                <w:szCs w:val="24"/>
              </w:rPr>
              <w:br/>
              <w:t>(руб.)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  <w:vertAlign w:val="superscript"/>
        </w:rPr>
      </w:pPr>
      <w:r w:rsidRPr="00E36F53">
        <w:rPr>
          <w:rFonts w:ascii="т" w:hAnsi="т"/>
          <w:vertAlign w:val="superscript"/>
        </w:rPr>
        <w:t>__________________________________________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lastRenderedPageBreak/>
        <w:t>1</w:t>
      </w:r>
      <w:r w:rsidRPr="00E36F53">
        <w:rPr>
          <w:rFonts w:ascii="т" w:hAnsi="т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4"/>
          <w:szCs w:val="24"/>
        </w:rPr>
      </w:pPr>
      <w:r w:rsidRPr="00E36F53">
        <w:rPr>
          <w:rFonts w:ascii="т" w:hAnsi="т"/>
          <w:b/>
          <w:sz w:val="24"/>
          <w:szCs w:val="24"/>
        </w:rPr>
        <w:t>Итого по разделу 5</w:t>
      </w:r>
      <w:r w:rsidRPr="00E36F53">
        <w:rPr>
          <w:rFonts w:ascii="т" w:hAnsi="т"/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6.1. Объекты недвижимого имущества, находящиеся в пользовании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276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имущества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Вид и сроки пользо</w:t>
            </w:r>
            <w:r w:rsidRPr="00E36F53">
              <w:rPr>
                <w:rFonts w:ascii="т" w:hAnsi="т"/>
                <w:sz w:val="24"/>
                <w:szCs w:val="24"/>
              </w:rPr>
              <w:softHyphen/>
              <w:t>вания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пользования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Местонахождение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Площадь</w:t>
            </w:r>
            <w:r w:rsidRPr="00E36F53">
              <w:rPr>
                <w:rFonts w:ascii="т" w:hAnsi="т"/>
                <w:sz w:val="24"/>
                <w:szCs w:val="24"/>
              </w:rPr>
              <w:br/>
              <w:t>(кв. м)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по состоянию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вид недвижимого имущества (земельный участок, жилой дом, дача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Указываются вид пользования (аренда, безвозмездное пользование и другие) и сроки пользования.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12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b/>
          <w:bCs/>
          <w:sz w:val="24"/>
          <w:szCs w:val="24"/>
        </w:rPr>
      </w:pPr>
      <w:r w:rsidRPr="00E36F53">
        <w:rPr>
          <w:rFonts w:ascii="т" w:hAnsi="т"/>
          <w:b/>
          <w:bCs/>
          <w:sz w:val="24"/>
          <w:szCs w:val="24"/>
        </w:rPr>
        <w:t>6.2. Срочные обязательства финансового характера</w:t>
      </w:r>
      <w:r w:rsidRPr="00E36F53">
        <w:rPr>
          <w:rFonts w:ascii="т" w:hAnsi="т"/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701"/>
        <w:gridCol w:w="1843"/>
        <w:gridCol w:w="1985"/>
        <w:gridCol w:w="2409"/>
        <w:gridCol w:w="1418"/>
      </w:tblGrid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№</w:t>
            </w:r>
            <w:r w:rsidRPr="00E36F53">
              <w:rPr>
                <w:rFonts w:ascii="т" w:hAnsi="т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Содержание обязательства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Кредитор (должник)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Основание возникновения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5</w:t>
            </w:r>
            <w:r w:rsidRPr="00E36F53">
              <w:rPr>
                <w:rFonts w:ascii="т" w:hAnsi="т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Условия обязатель</w:t>
            </w:r>
            <w:r w:rsidRPr="00E36F53">
              <w:rPr>
                <w:rFonts w:ascii="т" w:hAnsi="т"/>
                <w:sz w:val="24"/>
                <w:szCs w:val="24"/>
              </w:rPr>
              <w:softHyphen/>
              <w:t>ства</w:t>
            </w:r>
            <w:r w:rsidRPr="00E36F53">
              <w:rPr>
                <w:rFonts w:ascii="т" w:hAnsi="т"/>
                <w:sz w:val="24"/>
                <w:szCs w:val="24"/>
                <w:vertAlign w:val="superscript"/>
              </w:rPr>
              <w:t>6</w:t>
            </w:r>
          </w:p>
        </w:tc>
      </w:tr>
      <w:tr w:rsidR="00E36F53" w:rsidRPr="00E36F53" w:rsidTr="00E36F5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6</w:t>
            </w:r>
          </w:p>
        </w:tc>
      </w:tr>
      <w:tr w:rsidR="00E36F53" w:rsidRPr="00E36F53" w:rsidTr="00E36F53">
        <w:trPr>
          <w:trHeight w:val="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rPr>
          <w:trHeight w:val="42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</w:tbl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Достоверность и полноту настоящих сведений подтверждаю.</w:t>
      </w:r>
    </w:p>
    <w:p w:rsidR="00E36F53" w:rsidRPr="00E36F53" w:rsidRDefault="00E36F53" w:rsidP="00E36F53">
      <w:pPr>
        <w:spacing w:line="240" w:lineRule="auto"/>
        <w:ind w:firstLine="567"/>
        <w:rPr>
          <w:rFonts w:ascii="т" w:hAnsi="т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E36F53" w:rsidRPr="00E36F53" w:rsidTr="00E36F53">
        <w:tc>
          <w:tcPr>
            <w:tcW w:w="187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right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E36F53">
              <w:rPr>
                <w:rFonts w:ascii="т" w:hAnsi="т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E36F53" w:rsidRPr="00E36F53" w:rsidTr="00E36F53">
        <w:tc>
          <w:tcPr>
            <w:tcW w:w="187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567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284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1842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426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550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283" w:type="dxa"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rPr>
                <w:rFonts w:ascii="т" w:hAnsi="т"/>
              </w:rPr>
            </w:pPr>
          </w:p>
        </w:tc>
        <w:tc>
          <w:tcPr>
            <w:tcW w:w="6095" w:type="dxa"/>
            <w:hideMark/>
          </w:tcPr>
          <w:p w:rsidR="00E36F53" w:rsidRPr="00E36F53" w:rsidRDefault="00E36F53" w:rsidP="00E36F53">
            <w:pPr>
              <w:autoSpaceDE w:val="0"/>
              <w:autoSpaceDN w:val="0"/>
              <w:spacing w:line="240" w:lineRule="auto"/>
              <w:jc w:val="center"/>
              <w:rPr>
                <w:rFonts w:ascii="т" w:hAnsi="т"/>
              </w:rPr>
            </w:pPr>
            <w:r w:rsidRPr="00E36F53">
              <w:rPr>
                <w:rFonts w:ascii="т" w:hAnsi="т"/>
              </w:rPr>
              <w:t>(подпись лица, представляющего сведения)</w:t>
            </w:r>
          </w:p>
        </w:tc>
      </w:tr>
    </w:tbl>
    <w:p w:rsidR="00E36F53" w:rsidRPr="00E36F53" w:rsidRDefault="00E36F53" w:rsidP="00E36F53">
      <w:pPr>
        <w:spacing w:before="240"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  <w:sz w:val="20"/>
          <w:szCs w:val="20"/>
        </w:rPr>
      </w:pPr>
      <w:r w:rsidRPr="00E36F53">
        <w:rPr>
          <w:rFonts w:ascii="т" w:hAnsi="т"/>
        </w:rPr>
        <w:t>(Ф.И.О. и подпись лица, принявшего справку)</w:t>
      </w: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pBdr>
          <w:top w:val="single" w:sz="4" w:space="1" w:color="auto"/>
        </w:pBdr>
        <w:spacing w:line="240" w:lineRule="auto"/>
        <w:jc w:val="center"/>
        <w:rPr>
          <w:rFonts w:ascii="т" w:hAnsi="т"/>
        </w:rPr>
      </w:pP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  <w:r w:rsidRPr="00E36F53">
        <w:rPr>
          <w:rFonts w:ascii="т" w:hAnsi="т"/>
          <w:sz w:val="24"/>
          <w:szCs w:val="24"/>
        </w:rPr>
        <w:t>_________________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  <w:sz w:val="20"/>
          <w:szCs w:val="20"/>
        </w:rPr>
      </w:pPr>
      <w:r w:rsidRPr="00E36F53">
        <w:rPr>
          <w:rFonts w:ascii="т" w:hAnsi="т"/>
          <w:vertAlign w:val="superscript"/>
        </w:rPr>
        <w:t>1</w:t>
      </w:r>
      <w:r w:rsidRPr="00E36F53">
        <w:rPr>
          <w:rFonts w:ascii="т" w:hAnsi="т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2</w:t>
      </w:r>
      <w:r w:rsidRPr="00E36F53">
        <w:rPr>
          <w:rFonts w:ascii="т" w:hAnsi="т"/>
        </w:rPr>
        <w:t> Указывается существо обязательства (заем, кредит и другие).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3</w:t>
      </w:r>
      <w:r w:rsidRPr="00E36F53">
        <w:rPr>
          <w:rFonts w:ascii="т" w:hAnsi="т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4</w:t>
      </w:r>
      <w:r w:rsidRPr="00E36F53">
        <w:rPr>
          <w:rFonts w:ascii="т" w:hAnsi="т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5</w:t>
      </w:r>
      <w:r w:rsidRPr="00E36F53">
        <w:rPr>
          <w:rFonts w:ascii="т" w:hAnsi="т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36F53" w:rsidRPr="00E36F53" w:rsidRDefault="00E36F53" w:rsidP="00E36F53">
      <w:pPr>
        <w:spacing w:line="240" w:lineRule="auto"/>
        <w:ind w:firstLine="567"/>
        <w:jc w:val="both"/>
        <w:rPr>
          <w:rFonts w:ascii="т" w:hAnsi="т"/>
        </w:rPr>
      </w:pPr>
      <w:r w:rsidRPr="00E36F53">
        <w:rPr>
          <w:rFonts w:ascii="т" w:hAnsi="т"/>
          <w:vertAlign w:val="superscript"/>
        </w:rPr>
        <w:t>6</w:t>
      </w:r>
      <w:r w:rsidRPr="00E36F53">
        <w:rPr>
          <w:rFonts w:ascii="т" w:hAnsi="т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36F53" w:rsidRPr="00E36F53" w:rsidRDefault="00E36F53" w:rsidP="00E36F53">
      <w:pPr>
        <w:spacing w:line="240" w:lineRule="auto"/>
        <w:rPr>
          <w:rFonts w:ascii="т" w:hAnsi="т"/>
          <w:sz w:val="24"/>
          <w:szCs w:val="24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p w:rsidR="00E36F53" w:rsidRPr="00E36F53" w:rsidRDefault="00E36F53" w:rsidP="00E36F53">
      <w:pPr>
        <w:pStyle w:val="a3"/>
        <w:spacing w:line="240" w:lineRule="auto"/>
        <w:ind w:left="0"/>
        <w:rPr>
          <w:rFonts w:ascii="т" w:hAnsi="т" w:cs="Times New Roman"/>
          <w:sz w:val="28"/>
          <w:szCs w:val="28"/>
        </w:rPr>
      </w:pPr>
    </w:p>
    <w:sectPr w:rsidR="00E36F53" w:rsidRPr="00E36F53" w:rsidSect="008473C2">
      <w:headerReference w:type="default" r:id="rId11"/>
      <w:pgSz w:w="11906" w:h="16838"/>
      <w:pgMar w:top="284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E66" w:rsidRDefault="005F2E66" w:rsidP="00AF007A">
      <w:pPr>
        <w:spacing w:after="0" w:line="240" w:lineRule="auto"/>
      </w:pPr>
      <w:r>
        <w:separator/>
      </w:r>
    </w:p>
  </w:endnote>
  <w:endnote w:type="continuationSeparator" w:id="1">
    <w:p w:rsidR="005F2E66" w:rsidRDefault="005F2E66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E66" w:rsidRDefault="005F2E66" w:rsidP="00AF007A">
      <w:pPr>
        <w:spacing w:after="0" w:line="240" w:lineRule="auto"/>
      </w:pPr>
      <w:r>
        <w:separator/>
      </w:r>
    </w:p>
  </w:footnote>
  <w:footnote w:type="continuationSeparator" w:id="1">
    <w:p w:rsidR="005F2E66" w:rsidRDefault="005F2E66" w:rsidP="00AF007A">
      <w:pPr>
        <w:spacing w:after="0" w:line="240" w:lineRule="auto"/>
      </w:pPr>
      <w:r>
        <w:continuationSeparator/>
      </w:r>
    </w:p>
  </w:footnote>
  <w:footnote w:id="2">
    <w:p w:rsidR="00E36F53" w:rsidRDefault="00E36F53" w:rsidP="00E36F53">
      <w:pPr>
        <w:pStyle w:val="ac"/>
        <w:ind w:firstLine="567"/>
        <w:jc w:val="both"/>
      </w:pPr>
      <w:r>
        <w:rPr>
          <w:rStyle w:val="ae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E36F53" w:rsidRDefault="00E36F53" w:rsidP="00E36F53">
      <w:pPr>
        <w:pStyle w:val="ac"/>
        <w:ind w:firstLine="567"/>
        <w:jc w:val="both"/>
      </w:pPr>
      <w:r>
        <w:rPr>
          <w:rStyle w:val="ae"/>
        </w:rPr>
        <w:footnoteRef/>
      </w:r>
      <w: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2160D0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BD0251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73735"/>
    <w:rsid w:val="000B4EF5"/>
    <w:rsid w:val="000C3613"/>
    <w:rsid w:val="000F2299"/>
    <w:rsid w:val="0013273A"/>
    <w:rsid w:val="0018168A"/>
    <w:rsid w:val="00192FAF"/>
    <w:rsid w:val="00196795"/>
    <w:rsid w:val="001B6C4A"/>
    <w:rsid w:val="001C36CC"/>
    <w:rsid w:val="001E2558"/>
    <w:rsid w:val="001F0722"/>
    <w:rsid w:val="001F5AB7"/>
    <w:rsid w:val="001F5C29"/>
    <w:rsid w:val="00214060"/>
    <w:rsid w:val="002160D0"/>
    <w:rsid w:val="00240D52"/>
    <w:rsid w:val="00274C5C"/>
    <w:rsid w:val="002810D3"/>
    <w:rsid w:val="002A21BA"/>
    <w:rsid w:val="002A57E5"/>
    <w:rsid w:val="002B16A0"/>
    <w:rsid w:val="002B61A3"/>
    <w:rsid w:val="002C0BC0"/>
    <w:rsid w:val="002D79A3"/>
    <w:rsid w:val="002F7684"/>
    <w:rsid w:val="0030228E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7537C"/>
    <w:rsid w:val="00476DF1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5F2E66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73D47"/>
    <w:rsid w:val="00783BCF"/>
    <w:rsid w:val="00791B2E"/>
    <w:rsid w:val="007976CD"/>
    <w:rsid w:val="00797F29"/>
    <w:rsid w:val="007C43BF"/>
    <w:rsid w:val="008440C3"/>
    <w:rsid w:val="008473C2"/>
    <w:rsid w:val="0085564A"/>
    <w:rsid w:val="008635BA"/>
    <w:rsid w:val="00877C23"/>
    <w:rsid w:val="00887BD0"/>
    <w:rsid w:val="008A34A8"/>
    <w:rsid w:val="008C310F"/>
    <w:rsid w:val="008D0DD3"/>
    <w:rsid w:val="00907853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1E4E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4802"/>
    <w:rsid w:val="00AF5A7C"/>
    <w:rsid w:val="00B11D1C"/>
    <w:rsid w:val="00B17040"/>
    <w:rsid w:val="00B22082"/>
    <w:rsid w:val="00B248D1"/>
    <w:rsid w:val="00B37398"/>
    <w:rsid w:val="00B66357"/>
    <w:rsid w:val="00BD0251"/>
    <w:rsid w:val="00BD0A37"/>
    <w:rsid w:val="00BE264D"/>
    <w:rsid w:val="00BF5802"/>
    <w:rsid w:val="00C17D33"/>
    <w:rsid w:val="00C33A8D"/>
    <w:rsid w:val="00C34775"/>
    <w:rsid w:val="00C52FC7"/>
    <w:rsid w:val="00C84302"/>
    <w:rsid w:val="00CB2851"/>
    <w:rsid w:val="00CD39C8"/>
    <w:rsid w:val="00CE7714"/>
    <w:rsid w:val="00CE7BB8"/>
    <w:rsid w:val="00CF1018"/>
    <w:rsid w:val="00D209C8"/>
    <w:rsid w:val="00D329AF"/>
    <w:rsid w:val="00D4716D"/>
    <w:rsid w:val="00D63AE5"/>
    <w:rsid w:val="00D960D3"/>
    <w:rsid w:val="00DC4C40"/>
    <w:rsid w:val="00DD592B"/>
    <w:rsid w:val="00DF0BB4"/>
    <w:rsid w:val="00DF791A"/>
    <w:rsid w:val="00E12E70"/>
    <w:rsid w:val="00E3182D"/>
    <w:rsid w:val="00E3233E"/>
    <w:rsid w:val="00E36F53"/>
    <w:rsid w:val="00E415EB"/>
    <w:rsid w:val="00E45B1D"/>
    <w:rsid w:val="00E51263"/>
    <w:rsid w:val="00EC03FB"/>
    <w:rsid w:val="00ED19B3"/>
    <w:rsid w:val="00EE1FA5"/>
    <w:rsid w:val="00EE1FAD"/>
    <w:rsid w:val="00F0599C"/>
    <w:rsid w:val="00F13319"/>
    <w:rsid w:val="00F57A0F"/>
    <w:rsid w:val="00F60702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paragraph" w:styleId="3">
    <w:name w:val="Body Text Indent 3"/>
    <w:basedOn w:val="a"/>
    <w:link w:val="30"/>
    <w:rsid w:val="008473C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473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6070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36F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36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E36F53"/>
    <w:rPr>
      <w:vertAlign w:val="superscript"/>
    </w:rPr>
  </w:style>
  <w:style w:type="character" w:customStyle="1" w:styleId="af">
    <w:name w:val="Гипертекстовая ссылка"/>
    <w:uiPriority w:val="99"/>
    <w:rsid w:val="00E36F53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w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xt.document.kremlin.ru/document?id=70272954&amp;sub=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171682&amp;sub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B4AF-F5A4-4BF2-BFC7-0EE563A8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68</cp:revision>
  <cp:lastPrinted>2016-04-19T13:30:00Z</cp:lastPrinted>
  <dcterms:created xsi:type="dcterms:W3CDTF">2014-10-08T11:29:00Z</dcterms:created>
  <dcterms:modified xsi:type="dcterms:W3CDTF">2016-04-20T14:10:00Z</dcterms:modified>
</cp:coreProperties>
</file>